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4"/>
          <w:szCs w:val="28"/>
        </w:rPr>
        <w:t>Муниципальное бюджетное общеобразовательное учреждение "</w:t>
      </w:r>
      <w:proofErr w:type="spellStart"/>
      <w:r>
        <w:rPr>
          <w:rFonts w:asciiTheme="majorBidi" w:hAnsiTheme="majorBidi" w:cstheme="majorBidi"/>
          <w:sz w:val="24"/>
          <w:szCs w:val="28"/>
        </w:rPr>
        <w:t>Муслюмовская</w:t>
      </w:r>
      <w:proofErr w:type="spellEnd"/>
      <w:r>
        <w:rPr>
          <w:rFonts w:asciiTheme="majorBidi" w:hAnsiTheme="majorBidi" w:cstheme="majorBidi"/>
          <w:sz w:val="24"/>
          <w:szCs w:val="28"/>
        </w:rPr>
        <w:t xml:space="preserve"> гимназия" Муслюмовского муниципального района Республики Татарстан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2"/>
        <w:gridCol w:w="3281"/>
        <w:gridCol w:w="3363"/>
      </w:tblGrid>
      <w:tr>
        <w:tc>
          <w:tcPr>
            <w:tcW w:w="3273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28.08.2025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 гимназии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Мирзаянов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А.Ф.</w:t>
            </w:r>
          </w:p>
          <w:p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.08.202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>
      <w:pPr>
        <w:spacing w:after="0" w:line="240" w:lineRule="auto"/>
        <w:jc w:val="center"/>
        <w:rPr>
          <w:rFonts w:asciiTheme="majorBidi" w:hAnsiTheme="majorBidi" w:cstheme="majorBidi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proofErr w:type="gramStart"/>
      <w:r>
        <w:rPr>
          <w:rFonts w:asciiTheme="majorBidi" w:hAnsiTheme="majorBidi" w:cstheme="majorBidi"/>
          <w:sz w:val="24"/>
          <w:szCs w:val="28"/>
        </w:rPr>
        <w:t>начального</w:t>
      </w:r>
      <w:proofErr w:type="gramEnd"/>
      <w:r>
        <w:rPr>
          <w:rFonts w:asciiTheme="majorBidi" w:hAnsiTheme="majorBidi" w:cstheme="majorBidi"/>
          <w:sz w:val="24"/>
          <w:szCs w:val="28"/>
        </w:rPr>
        <w:t xml:space="preserve"> общего образования 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proofErr w:type="gramStart"/>
      <w:r>
        <w:rPr>
          <w:rFonts w:asciiTheme="majorBidi" w:hAnsiTheme="majorBidi" w:cstheme="majorBidi"/>
          <w:sz w:val="24"/>
          <w:szCs w:val="28"/>
        </w:rPr>
        <w:t>на</w:t>
      </w:r>
      <w:proofErr w:type="gramEnd"/>
      <w:r>
        <w:rPr>
          <w:rFonts w:asciiTheme="majorBidi" w:hAnsiTheme="majorBidi" w:cstheme="majorBidi"/>
          <w:sz w:val="24"/>
          <w:szCs w:val="28"/>
        </w:rPr>
        <w:t xml:space="preserve"> 2025 – 2026 учебный год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sz w:val="24"/>
          <w:szCs w:val="28"/>
        </w:rPr>
        <w:t>Муслюмовский муниципальный район, Республика Татарстан (Татарстан) 2025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>
      <w:pPr>
        <w:pStyle w:val="ad"/>
        <w:ind w:firstLine="567"/>
      </w:pPr>
      <w:r>
        <w:rPr>
          <w:rStyle w:val="markedcontent"/>
        </w:rPr>
        <w:t xml:space="preserve">Учебный план </w:t>
      </w:r>
      <w:r>
        <w:rPr>
          <w:color w:val="000000"/>
        </w:rPr>
        <w:t xml:space="preserve">начального общего образования </w:t>
      </w:r>
      <w:r>
        <w:rPr>
          <w:rStyle w:val="markedcontent"/>
          <w:rFonts w:asciiTheme="majorBidi" w:hAnsiTheme="majorBidi" w:cstheme="majorBidi"/>
        </w:rPr>
        <w:t>муниципального бюджетного общеобразовательного учреждения «</w:t>
      </w:r>
      <w:proofErr w:type="spellStart"/>
      <w:r>
        <w:rPr>
          <w:rStyle w:val="markedcontent"/>
          <w:rFonts w:asciiTheme="majorBidi" w:hAnsiTheme="majorBidi" w:cstheme="majorBidi"/>
        </w:rPr>
        <w:t>Муслюмовская</w:t>
      </w:r>
      <w:proofErr w:type="spellEnd"/>
      <w:r>
        <w:rPr>
          <w:rStyle w:val="markedcontent"/>
          <w:rFonts w:asciiTheme="majorBidi" w:hAnsiTheme="majorBidi" w:cstheme="majorBidi"/>
        </w:rPr>
        <w:t xml:space="preserve"> гимназия» Муслюмовского муниципального района Республики Татарстан</w:t>
      </w:r>
      <w:r>
        <w:rPr>
          <w:rFonts w:asciiTheme="majorBidi" w:hAnsiTheme="majorBidi" w:cstheme="majorBidi"/>
        </w:rPr>
        <w:t xml:space="preserve"> </w:t>
      </w:r>
      <w:r>
        <w:rPr>
          <w:rStyle w:val="markedcontent"/>
          <w:rFonts w:asciiTheme="majorBidi" w:hAnsiTheme="majorBidi" w:cstheme="majorBidi"/>
        </w:rPr>
        <w:t xml:space="preserve">(далее – учебный план) для 1-4 классов, реализующих основную образовательную программу </w:t>
      </w:r>
      <w:r>
        <w:rPr>
          <w:color w:val="000000"/>
        </w:rPr>
        <w:t xml:space="preserve">начального общего образования </w:t>
      </w:r>
      <w:r>
        <w:t xml:space="preserve">разработан на основе: 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 декабря 2012 г. № 273-ФЗ «Об образовании в Российской Федерации».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РФ от 25 октября 1991 г. № 1807-I «О языках народов Российской Федерации».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22 июля 2013 г. № 68-ЗРТ «Об образовании».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Федеральная образовательная программа начального общего образования, утвержденная приказом Министерства просвещения РФ от 18.05.2023 № 372.</w:t>
      </w:r>
    </w:p>
    <w:p>
      <w:pPr>
        <w:spacing w:after="0" w:line="240" w:lineRule="auto"/>
        <w:ind w:firstLine="567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Содержание образования при получении начального общего образования реализуется преимущественно за счет учебных предметов, курсов, обеспечивающих целостное восприятие мира, системно-деятельностный подход и индивидуализацию обучения.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Учебный план предусматривает четырехлетний нормативный срок освоения образовательных программ начального общего образования. Продолжительность учебного года при получении начального общего образования для 1-х классов составляет 33 недели, для 2–4-х классов – 34 недели. Соответственно, весь период обучения на уровне НОО составляет 135 учебных недель.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Обучение на уровне начального общего образования организовано следующим образом:</w:t>
      </w:r>
    </w:p>
    <w:p>
      <w:pPr>
        <w:numPr>
          <w:ilvl w:val="0"/>
          <w:numId w:val="6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1-е классы – пятидневная учебная неделя;</w:t>
      </w:r>
    </w:p>
    <w:p>
      <w:pPr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2–4-е классы – шестидневная учебная неделя.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Образовательная недельная нагрузка равномерно распределена в течение учебной недели. При распределении часов учтен ступенчатый режим в 1-м классе: в сентябре–декабре уроки длятся по 35 минут, в январе–мае – по 40 минут.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Объем максимально допустимой нагрузки в течение дня:</w:t>
      </w:r>
    </w:p>
    <w:p>
      <w:pPr>
        <w:numPr>
          <w:ilvl w:val="0"/>
          <w:numId w:val="7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1-х классов – не более четырех уроков в день и один в неделю – пять уроков;</w:t>
      </w:r>
    </w:p>
    <w:p>
      <w:pPr>
        <w:numPr>
          <w:ilvl w:val="0"/>
          <w:numId w:val="7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2–4-х классов – не более пяти уроков.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Количество часов, отведенных на освоение обучающимися учебных предметов, курсов, модулей из обязательной части и части, формируемой участниками образовательного процесса, в совокупности не превышает величину недельной образовательной нагрузки, установленную СанПиН 1.2.3685-21. В учебном плане начального общего образования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гимназия» выделено:</w:t>
      </w:r>
    </w:p>
    <w:p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1-х классах </w:t>
      </w:r>
      <w:r>
        <w:rPr>
          <w:rFonts w:ascii="Times New Roman" w:hAnsi="Times New Roman" w:cs="Times New Roman"/>
          <w:sz w:val="24"/>
          <w:szCs w:val="24"/>
        </w:rPr>
        <w:t>– 20 часов </w:t>
      </w:r>
      <w:r>
        <w:rPr>
          <w:rFonts w:ascii="Times New Roman" w:hAnsi="Times New Roman" w:cs="Times New Roman"/>
          <w:color w:val="000000"/>
          <w:sz w:val="24"/>
          <w:szCs w:val="24"/>
        </w:rPr>
        <w:t>в неделю;</w:t>
      </w:r>
    </w:p>
    <w:p>
      <w:pPr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2–4-х классах – 26 часов в неделю.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Общий объём аудиторной работы обучающихся за четыре учебных года не может составлять менее 2966 академических часов и более 3305 академических часов в соответствии с требованиями к организации образовательного процесса к учебной нагрузке при 5-дневной (6-дневной) учебной недели, предусмотренными Гигиеническими нормативами и Санитарно-эпидемиологическими требованиями.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Учебный план состоит из двух частей – обязательной части и части, формируемой участниками образовательных отношений.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Урочная деятельность направлена на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Обязательная часть учебного плана включает в себя следующие учебные предметы: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«Русский язык и литературное чтение»;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«Родной язык и литературное чтение на родном языке»;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«Иностранный язык»;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«Математика»;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«Окружающий мир»;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«Основы религиозных культур и светской этики»;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«Искусство»;</w:t>
      </w:r>
    </w:p>
    <w:p>
      <w:pPr>
        <w:numPr>
          <w:ilvl w:val="0"/>
          <w:numId w:val="9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«Труд (технология)»;</w:t>
      </w:r>
    </w:p>
    <w:p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«Физическая культура».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рамках учебного предмета «Родной язык и литературное чтение на родном языке» осуществляется изучение учебных предметов «Родной (тат.) язык» и «Литературное чтение на родном (тат.) языке» на основании заявлений родителей (законных представителей) несовершеннолетних обучающихся. 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проведении занятий по учебным предметам «Иностранный язык» (во 2–4-х классах) и «Родной (тат.) язык», «Литературное чтение на родном (тат.) языке» (в русскоязычных группах) осуществляется деление классов на две группы с учетом норм по предельно допустимой наполняемости групп.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внутри максимально допустимой недельной нагрузки обучающихся, используется: на увеличение учебных часов, отводимых на изучение отдельных учебных предметов.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Время, отведенное на внеурочную деятельность, не учитывается при определении максимально допустимой недельной учебной нагрузки обучающихся.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Формы организации образовательной деятельности, чередование урочной и внеурочной деятельности при реализации основной образовательной программы начального общего образования определяет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гимназия».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Формы организации и объем внеурочной деятельности для обучающихся при освоении ими программы начального общего образования определены в плане внеурочной деятельности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гимназия».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первом классе промежуточная аттестация проводится </w:t>
      </w:r>
      <w:r>
        <w:rPr>
          <w:rFonts w:ascii="Times New Roman" w:eastAsia="Times New Roman" w:hAnsi="Times New Roman" w:cs="Times New Roman"/>
          <w:color w:val="222222"/>
          <w:sz w:val="24"/>
          <w:szCs w:val="21"/>
          <w:shd w:val="clear" w:color="auto" w:fill="FFFFFF"/>
          <w:lang w:eastAsia="ru-RU"/>
        </w:rPr>
        <w:t>в виде учета текущих достижений учеников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222222"/>
          <w:sz w:val="24"/>
          <w:szCs w:val="21"/>
          <w:shd w:val="clear" w:color="auto" w:fill="FFFFFF"/>
          <w:lang w:eastAsia="ru-RU"/>
        </w:rPr>
        <w:t xml:space="preserve">При этом она носит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1"/>
          <w:shd w:val="clear" w:color="auto" w:fill="FFFFFF"/>
          <w:lang w:eastAsia="ru-RU"/>
        </w:rPr>
        <w:t>безотметочный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1"/>
          <w:shd w:val="clear" w:color="auto" w:fill="FFFFFF"/>
          <w:lang w:eastAsia="ru-RU"/>
        </w:rPr>
        <w:t xml:space="preserve"> характер и фиксируется в документах гимназии</w:t>
      </w:r>
      <w:r>
        <w:rPr>
          <w:rFonts w:ascii="Times New Roman" w:hAnsi="Times New Roman" w:cs="Times New Roman"/>
          <w:color w:val="000000"/>
          <w:sz w:val="24"/>
          <w:szCs w:val="24"/>
        </w:rPr>
        <w:t>. Начиная со второго класса промежуточная аттестация обучающихся проводится в конце каждого учебного периода по каждому изучаемому учебному предмету.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0882" w:type="dxa"/>
        <w:tblInd w:w="-147" w:type="dxa"/>
        <w:tblLook w:val="04A0" w:firstRow="1" w:lastRow="0" w:firstColumn="1" w:lastColumn="0" w:noHBand="0" w:noVBand="1"/>
      </w:tblPr>
      <w:tblGrid>
        <w:gridCol w:w="1843"/>
        <w:gridCol w:w="1985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546"/>
        <w:gridCol w:w="1048"/>
      </w:tblGrid>
      <w:tr>
        <w:tc>
          <w:tcPr>
            <w:tcW w:w="1843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1985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7054" w:type="dxa"/>
            <w:gridSpan w:val="12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>
        <w:tc>
          <w:tcPr>
            <w:tcW w:w="1843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1а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1б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1в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2а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2б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2в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3а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3б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3в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4а</w:t>
            </w:r>
          </w:p>
        </w:tc>
        <w:tc>
          <w:tcPr>
            <w:tcW w:w="54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4б</w:t>
            </w:r>
          </w:p>
        </w:tc>
        <w:tc>
          <w:tcPr>
            <w:tcW w:w="1048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>
        <w:tc>
          <w:tcPr>
            <w:tcW w:w="9834" w:type="dxa"/>
            <w:gridSpan w:val="13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  <w:tc>
          <w:tcPr>
            <w:tcW w:w="1048" w:type="dxa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>
        <w:tc>
          <w:tcPr>
            <w:tcW w:w="1843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46/1552</w:t>
            </w:r>
          </w:p>
        </w:tc>
      </w:tr>
      <w:tr>
        <w:tc>
          <w:tcPr>
            <w:tcW w:w="1843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33/1113</w:t>
            </w:r>
          </w:p>
        </w:tc>
      </w:tr>
      <w:tr>
        <w:tc>
          <w:tcPr>
            <w:tcW w:w="1843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(тат.) язык 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28/946</w:t>
            </w:r>
          </w:p>
        </w:tc>
      </w:tr>
      <w:tr>
        <w:tc>
          <w:tcPr>
            <w:tcW w:w="1843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 на родном (тат.) языке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11/37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Иностранный (англ.) язык 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16/544</w:t>
            </w:r>
          </w:p>
        </w:tc>
        <w:bookmarkStart w:id="0" w:name="_GoBack"/>
        <w:bookmarkEnd w:id="0"/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44/14</w:t>
            </w:r>
            <w:r>
              <w:rPr>
                <w:rFonts w:ascii="Times New Roman" w:hAnsi="Times New Roman" w:cs="Times New Roman"/>
                <w:lang w:val="en-US"/>
              </w:rPr>
              <w:t>84</w:t>
            </w:r>
          </w:p>
        </w:tc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22/74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>
        <w:tc>
          <w:tcPr>
            <w:tcW w:w="1843" w:type="dxa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9,5/321,5</w:t>
            </w:r>
          </w:p>
        </w:tc>
      </w:tr>
      <w:tr>
        <w:tc>
          <w:tcPr>
            <w:tcW w:w="1843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9,5/321,5</w:t>
            </w:r>
          </w:p>
        </w:tc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11/37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>
        <w:tc>
          <w:tcPr>
            <w:tcW w:w="1843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985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8" w:type="dxa"/>
          </w:tcPr>
          <w:p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22/74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371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850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  <w:r>
              <w:rPr>
                <w:rFonts w:ascii="Times New Roman" w:hAnsi="Times New Roman" w:cs="Times New Roman"/>
              </w:rPr>
              <w:t>8576</w:t>
            </w:r>
          </w:p>
        </w:tc>
      </w:tr>
      <w:tr>
        <w:tc>
          <w:tcPr>
            <w:tcW w:w="10882" w:type="dxa"/>
            <w:gridSpan w:val="14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Часть, формируемой участниками образовательных отношений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5/170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8/272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268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9151</w:t>
            </w:r>
          </w:p>
        </w:tc>
      </w:tr>
      <w:tr>
        <w:tc>
          <w:tcPr>
            <w:tcW w:w="9834" w:type="dxa"/>
            <w:gridSpan w:val="13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Функциональная грамотность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Разговоры о правильном питании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Интеллектика</w:t>
            </w:r>
            <w:proofErr w:type="spellEnd"/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Рукотворный мир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Проектная деятельность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Мастерская речи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финансист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Грамотный читатель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c>
          <w:tcPr>
            <w:tcW w:w="3828" w:type="dxa"/>
            <w:gridSpan w:val="2"/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8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Формы промежуточной аттестации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учебным предметам на 2025-2026 учебный год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tbl>
      <w:tblPr>
        <w:tblStyle w:val="ab"/>
        <w:tblW w:w="10037" w:type="dxa"/>
        <w:tblInd w:w="108" w:type="dxa"/>
        <w:tblLook w:val="04A0" w:firstRow="1" w:lastRow="0" w:firstColumn="1" w:lastColumn="0" w:noHBand="0" w:noVBand="1"/>
      </w:tblPr>
      <w:tblGrid>
        <w:gridCol w:w="4849"/>
        <w:gridCol w:w="1701"/>
        <w:gridCol w:w="1659"/>
        <w:gridCol w:w="1828"/>
      </w:tblGrid>
      <w:tr>
        <w:tc>
          <w:tcPr>
            <w:tcW w:w="4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5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c>
          <w:tcPr>
            <w:tcW w:w="4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 (тат.) языке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ГО//КР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ГО//КР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ГО//КР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ДГЗ – диктант с грамматическим заданием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отметка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 – зачет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У-устный экзамен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П-проект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на 2025-2026 учебный год рассмотрен на классных родительских и общешкольном родительском собрании (Протокол № 2 от 05.05.2025 г.)</w:t>
      </w:r>
    </w:p>
    <w:sectPr>
      <w:pgSz w:w="11900" w:h="16820"/>
      <w:pgMar w:top="851" w:right="1134" w:bottom="851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148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E6F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1A2A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2B650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7EC0958"/>
    <w:multiLevelType w:val="hybridMultilevel"/>
    <w:tmpl w:val="50E84D26"/>
    <w:lvl w:ilvl="0" w:tplc="41944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AE0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107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B82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18A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3609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34C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B8D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089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AFA5A58"/>
    <w:multiLevelType w:val="hybridMultilevel"/>
    <w:tmpl w:val="34BC6610"/>
    <w:lvl w:ilvl="0" w:tplc="E34463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BAC4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796F6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F040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7010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D4F2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42D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7A08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5C6C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4225D6"/>
    <w:multiLevelType w:val="hybridMultilevel"/>
    <w:tmpl w:val="7E087046"/>
    <w:lvl w:ilvl="0" w:tplc="C798D0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F4CD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7C656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1697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3620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5656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F0617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EA8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603A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99936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6F950D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EED54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13256F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8D55F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15"/>
  </w:num>
  <w:num w:numId="4">
    <w:abstractNumId w:val="11"/>
  </w:num>
  <w:num w:numId="5">
    <w:abstractNumId w:val="9"/>
  </w:num>
  <w:num w:numId="6">
    <w:abstractNumId w:val="13"/>
  </w:num>
  <w:num w:numId="7">
    <w:abstractNumId w:val="1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6"/>
  </w:num>
  <w:num w:numId="16">
    <w:abstractNumId w:val="8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pyright-info">
    <w:name w:val="copyright-info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Pr>
      <w:color w:val="0000FF"/>
      <w:u w:val="single"/>
    </w:rPr>
  </w:style>
  <w:style w:type="paragraph" w:styleId="ad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9855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5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101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F1441-C484-4DD2-83BF-1CB1CF923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Nurfajazovna</cp:lastModifiedBy>
  <cp:revision>141</cp:revision>
  <cp:lastPrinted>2025-09-19T07:55:00Z</cp:lastPrinted>
  <dcterms:created xsi:type="dcterms:W3CDTF">2023-04-17T10:52:00Z</dcterms:created>
  <dcterms:modified xsi:type="dcterms:W3CDTF">2025-09-19T07:55:00Z</dcterms:modified>
</cp:coreProperties>
</file>